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24 34 vom 9. April 2024</w:t>
      </w:r>
    </w:p>
    <w:p>
      <w:r>
        <w:t>BL Gerichte, 2024-04-09, DE</w:t>
      </w:r>
    </w:p>
    <w:p>
      <w:r>
        <w:rPr>
          <w:b/>
        </w:rPr>
        <w:t xml:space="preserve">Quelle: </w:t>
      </w:r>
      <w:r>
        <w:t>https://mcp.opencaselaw.ch/entscheid/bl_gerichte_420 24 34</w:t>
      </w:r>
    </w:p>
    <w:p>
      <w:r>
        <w:t>FR: BL_GERICHTE 420 24 34 du 9 avril 2024</w:t>
      </w:r>
    </w:p>
    <w:p>
      <w:r>
        <w:t>IT: BL_GERICHTE 420 24 34 del 9 aprile 2024</w:t>
      </w:r>
    </w:p>
    <w:p>
      <w:pPr>
        <w:pStyle w:val="Heading2"/>
      </w:pPr>
      <w:r>
        <w:t>Regeste</w:t>
      </w:r>
    </w:p>
    <w:p>
      <w:r>
        <w:t>Der Kanton Basel-Landschaft kennt kein Beschwerdeverfahren nach Art. 4 Abs. 2 SchGG (E. 1.1.2); Zuständigkeit der oberen kantonalen Aufsichtsbehörde zur Beurteilung von betreibungsrechtlichen Beschwerden im Zusammenhang mit Betreibungen gegen Gemeinden (E. 1.1.2 f.); Verneinung der Nichtigkeit des Betreibungsbegehrens (E. 2.2.3 und 2.2.5); Rückweisung des Betreibungsbegehrens zur Nachbesserung als Rechtsfolge einer unklaren Schuldnerbezeichnung, welche nicht zur Nichtigkeit führt (E. 2.2.8).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Für das Beschwerdeverfahren werden gemäss Art. 20a Abs. 2 Ziff. 5 SchKG i.V.m. Art. 61 Abs. 2 lit. a der Gebührenverordnung zum Bundesgesetz über Schuldbetreibung und Konkurs (GebV SchKG) keine Kosten erhoben. Es darf keine Parteientschädigung zugesprochen werden (Art. 62 Abs. 2 GebV SchKG), womit jede Partei ihre Parteikosten selbst trägt.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